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C426" w14:textId="7A293023" w:rsidR="0078188D" w:rsidRDefault="0078188D">
      <w:pPr>
        <w:rPr>
          <w:b/>
          <w:noProof/>
        </w:rPr>
      </w:pPr>
      <w:r>
        <w:rPr>
          <w:b/>
          <w:noProof/>
        </w:rPr>
        <w:drawing>
          <wp:anchor distT="0" distB="0" distL="114300" distR="114300" simplePos="0" relativeHeight="251659264" behindDoc="1" locked="0" layoutInCell="1" allowOverlap="1" wp14:anchorId="1C016CED" wp14:editId="2181B598">
            <wp:simplePos x="0" y="0"/>
            <wp:positionH relativeFrom="page">
              <wp:align>right</wp:align>
            </wp:positionH>
            <wp:positionV relativeFrom="paragraph">
              <wp:posOffset>-898525</wp:posOffset>
            </wp:positionV>
            <wp:extent cx="7550150" cy="10679238"/>
            <wp:effectExtent l="0" t="0" r="0" b="8255"/>
            <wp:wrapNone/>
            <wp:docPr id="1" name="Picture 1" descr="En bild som visar Rektang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Rektangel&#10;&#10;Automatiskt genererad beskrivning"/>
                    <pic:cNvPicPr/>
                  </pic:nvPicPr>
                  <pic:blipFill>
                    <a:blip r:embed="rId5">
                      <a:extLst>
                        <a:ext uri="{28A0092B-C50C-407E-A947-70E740481C1C}">
                          <a14:useLocalDpi xmlns:a14="http://schemas.microsoft.com/office/drawing/2010/main" val="0"/>
                        </a:ext>
                      </a:extLst>
                    </a:blip>
                    <a:stretch>
                      <a:fillRect/>
                    </a:stretch>
                  </pic:blipFill>
                  <pic:spPr>
                    <a:xfrm>
                      <a:off x="0" y="0"/>
                      <a:ext cx="7550150" cy="10679238"/>
                    </a:xfrm>
                    <a:prstGeom prst="rect">
                      <a:avLst/>
                    </a:prstGeom>
                  </pic:spPr>
                </pic:pic>
              </a:graphicData>
            </a:graphic>
            <wp14:sizeRelH relativeFrom="margin">
              <wp14:pctWidth>0</wp14:pctWidth>
            </wp14:sizeRelH>
            <wp14:sizeRelV relativeFrom="margin">
              <wp14:pctHeight>0</wp14:pctHeight>
            </wp14:sizeRelV>
          </wp:anchor>
        </w:drawing>
      </w:r>
    </w:p>
    <w:p w14:paraId="192895BE" w14:textId="45056A92" w:rsidR="0078188D" w:rsidRDefault="0078188D">
      <w:pPr>
        <w:rPr>
          <w:b/>
          <w:noProof/>
        </w:rPr>
      </w:pPr>
    </w:p>
    <w:p w14:paraId="7BD646FD" w14:textId="666E63F3" w:rsidR="0078188D" w:rsidRDefault="0078188D">
      <w:pPr>
        <w:rPr>
          <w:b/>
          <w:noProof/>
        </w:rPr>
      </w:pPr>
    </w:p>
    <w:p w14:paraId="33FD4DD9" w14:textId="17A05F3E" w:rsidR="0078188D" w:rsidRDefault="0078188D">
      <w:pPr>
        <w:rPr>
          <w:b/>
          <w:noProof/>
        </w:rPr>
      </w:pPr>
    </w:p>
    <w:p w14:paraId="7E728617" w14:textId="0A8F25E2" w:rsidR="0078188D" w:rsidRDefault="0078188D">
      <w:pPr>
        <w:rPr>
          <w:b/>
          <w:noProof/>
        </w:rPr>
      </w:pPr>
    </w:p>
    <w:p w14:paraId="30ACF697" w14:textId="767CCE20" w:rsidR="0078188D" w:rsidRDefault="0078188D">
      <w:pPr>
        <w:rPr>
          <w:b/>
          <w:noProof/>
        </w:rPr>
      </w:pPr>
    </w:p>
    <w:p w14:paraId="2CFCA893" w14:textId="73DBC81F" w:rsidR="0078188D" w:rsidRDefault="0078188D">
      <w:pPr>
        <w:rPr>
          <w:b/>
          <w:noProof/>
        </w:rPr>
      </w:pPr>
    </w:p>
    <w:p w14:paraId="51993A5B" w14:textId="7E60A0E0" w:rsidR="0078188D" w:rsidRDefault="0078188D">
      <w:pPr>
        <w:rPr>
          <w:b/>
          <w:noProof/>
        </w:rPr>
      </w:pPr>
    </w:p>
    <w:p w14:paraId="5C08C030" w14:textId="56C1D35E" w:rsidR="0078188D" w:rsidRDefault="0078188D">
      <w:pPr>
        <w:rPr>
          <w:b/>
          <w:noProof/>
        </w:rPr>
      </w:pPr>
    </w:p>
    <w:p w14:paraId="64D6A67F" w14:textId="19BE3ED0" w:rsidR="0078188D" w:rsidRDefault="0078188D">
      <w:pPr>
        <w:rPr>
          <w:b/>
          <w:noProof/>
        </w:rPr>
      </w:pPr>
    </w:p>
    <w:p w14:paraId="327C81E3" w14:textId="6D8FB083" w:rsidR="0078188D" w:rsidRDefault="0078188D">
      <w:pPr>
        <w:rPr>
          <w:b/>
          <w:noProof/>
        </w:rPr>
      </w:pPr>
    </w:p>
    <w:p w14:paraId="3C7383A2" w14:textId="368DA303" w:rsidR="0078188D" w:rsidRDefault="0078188D">
      <w:pPr>
        <w:rPr>
          <w:b/>
          <w:noProof/>
        </w:rPr>
      </w:pPr>
    </w:p>
    <w:p w14:paraId="72B376AA" w14:textId="69DC4A05" w:rsidR="0078188D" w:rsidRDefault="0078188D">
      <w:pPr>
        <w:rPr>
          <w:b/>
          <w:noProof/>
        </w:rPr>
      </w:pPr>
    </w:p>
    <w:p w14:paraId="4310A22B" w14:textId="702A2B3A" w:rsidR="0078188D" w:rsidRDefault="0078188D">
      <w:pPr>
        <w:rPr>
          <w:b/>
          <w:noProof/>
        </w:rPr>
      </w:pPr>
    </w:p>
    <w:p w14:paraId="1CC94795" w14:textId="70CBEE2D" w:rsidR="0078188D" w:rsidRDefault="0078188D">
      <w:pPr>
        <w:rPr>
          <w:b/>
          <w:noProof/>
        </w:rPr>
      </w:pPr>
    </w:p>
    <w:p w14:paraId="5A7D2663" w14:textId="0E368F7E" w:rsidR="0078188D" w:rsidRDefault="0078188D">
      <w:pPr>
        <w:rPr>
          <w:b/>
          <w:noProof/>
        </w:rPr>
      </w:pPr>
    </w:p>
    <w:p w14:paraId="5E2B7AFC" w14:textId="451A07D0" w:rsidR="0078188D" w:rsidRDefault="0078188D">
      <w:pPr>
        <w:rPr>
          <w:b/>
          <w:noProof/>
        </w:rPr>
      </w:pPr>
    </w:p>
    <w:p w14:paraId="12AA907B" w14:textId="347570F6" w:rsidR="0078188D" w:rsidRDefault="0078188D">
      <w:pPr>
        <w:rPr>
          <w:b/>
          <w:noProof/>
        </w:rPr>
      </w:pPr>
    </w:p>
    <w:p w14:paraId="28669289" w14:textId="541F1E11" w:rsidR="0078188D" w:rsidRDefault="0078188D">
      <w:pPr>
        <w:rPr>
          <w:rFonts w:ascii="Amasis MT Pro" w:hAnsi="Amasis MT Pro"/>
          <w:b/>
          <w:noProof/>
          <w:color w:val="FFFFFF" w:themeColor="background1"/>
          <w:sz w:val="72"/>
          <w:szCs w:val="72"/>
        </w:rPr>
      </w:pPr>
      <w:r w:rsidRPr="0078188D">
        <w:rPr>
          <w:rFonts w:ascii="Amasis MT Pro" w:hAnsi="Amasis MT Pro"/>
          <w:b/>
          <w:noProof/>
          <w:color w:val="FFFFFF" w:themeColor="background1"/>
          <w:sz w:val="72"/>
          <w:szCs w:val="72"/>
        </w:rPr>
        <w:t>Pen</w:t>
      </w:r>
      <w:r>
        <w:rPr>
          <w:rFonts w:ascii="Amasis MT Pro" w:hAnsi="Amasis MT Pro"/>
          <w:b/>
          <w:noProof/>
          <w:color w:val="FFFFFF" w:themeColor="background1"/>
          <w:sz w:val="72"/>
          <w:szCs w:val="72"/>
        </w:rPr>
        <w:t>si</w:t>
      </w:r>
      <w:r w:rsidRPr="0078188D">
        <w:rPr>
          <w:rFonts w:ascii="Amasis MT Pro" w:hAnsi="Amasis MT Pro"/>
          <w:b/>
          <w:noProof/>
          <w:color w:val="FFFFFF" w:themeColor="background1"/>
          <w:sz w:val="72"/>
          <w:szCs w:val="72"/>
        </w:rPr>
        <w:t>onspolicy</w:t>
      </w:r>
    </w:p>
    <w:p w14:paraId="48D14426" w14:textId="381925A5" w:rsidR="0078188D" w:rsidRDefault="00AB54F5">
      <w:pPr>
        <w:rPr>
          <w:rFonts w:ascii="Microsoft GothicNeo" w:eastAsia="Microsoft GothicNeo" w:hAnsi="Microsoft GothicNeo" w:cs="Microsoft GothicNeo"/>
          <w:bCs/>
          <w:noProof/>
          <w:color w:val="FFFFFF" w:themeColor="background1"/>
        </w:rPr>
      </w:pPr>
      <w:r>
        <w:rPr>
          <w:rFonts w:ascii="Microsoft GothicNeo" w:eastAsia="Microsoft GothicNeo" w:hAnsi="Microsoft GothicNeo" w:cs="Microsoft GothicNeo"/>
          <w:bCs/>
          <w:noProof/>
          <w:color w:val="FFFFFF" w:themeColor="background1"/>
        </w:rPr>
        <w:t xml:space="preserve">Antagen av </w:t>
      </w:r>
      <w:r w:rsidR="00F272A1">
        <w:rPr>
          <w:rFonts w:ascii="Microsoft GothicNeo" w:eastAsia="Microsoft GothicNeo" w:hAnsi="Microsoft GothicNeo" w:cs="Microsoft GothicNeo"/>
          <w:bCs/>
          <w:noProof/>
          <w:color w:val="FFFFFF" w:themeColor="background1"/>
        </w:rPr>
        <w:t>k</w:t>
      </w:r>
      <w:r w:rsidR="0078188D" w:rsidRPr="0078188D">
        <w:rPr>
          <w:rFonts w:ascii="Microsoft GothicNeo" w:eastAsia="Microsoft GothicNeo" w:hAnsi="Microsoft GothicNeo" w:cs="Microsoft GothicNeo"/>
          <w:bCs/>
          <w:noProof/>
          <w:color w:val="FFFFFF" w:themeColor="background1"/>
        </w:rPr>
        <w:t>ommunfullmäktige 20</w:t>
      </w:r>
      <w:r>
        <w:rPr>
          <w:rFonts w:ascii="Microsoft GothicNeo" w:eastAsia="Microsoft GothicNeo" w:hAnsi="Microsoft GothicNeo" w:cs="Microsoft GothicNeo"/>
          <w:bCs/>
          <w:noProof/>
          <w:color w:val="FFFFFF" w:themeColor="background1"/>
        </w:rPr>
        <w:t>15</w:t>
      </w:r>
      <w:r w:rsidR="0078188D" w:rsidRPr="0078188D">
        <w:rPr>
          <w:rFonts w:ascii="Microsoft GothicNeo" w:eastAsia="Microsoft GothicNeo" w:hAnsi="Microsoft GothicNeo" w:cs="Microsoft GothicNeo"/>
          <w:bCs/>
          <w:noProof/>
          <w:color w:val="FFFFFF" w:themeColor="background1"/>
        </w:rPr>
        <w:t>-</w:t>
      </w:r>
      <w:r w:rsidR="00AE26BC">
        <w:rPr>
          <w:rFonts w:ascii="Microsoft GothicNeo" w:eastAsia="Microsoft GothicNeo" w:hAnsi="Microsoft GothicNeo" w:cs="Microsoft GothicNeo"/>
          <w:bCs/>
          <w:noProof/>
          <w:color w:val="FFFFFF" w:themeColor="background1"/>
        </w:rPr>
        <w:t>0</w:t>
      </w:r>
      <w:r>
        <w:rPr>
          <w:rFonts w:ascii="Microsoft GothicNeo" w:eastAsia="Microsoft GothicNeo" w:hAnsi="Microsoft GothicNeo" w:cs="Microsoft GothicNeo"/>
          <w:bCs/>
          <w:noProof/>
          <w:color w:val="FFFFFF" w:themeColor="background1"/>
        </w:rPr>
        <w:t>4</w:t>
      </w:r>
      <w:r w:rsidR="00AE26BC">
        <w:rPr>
          <w:rFonts w:ascii="Microsoft GothicNeo" w:eastAsia="Microsoft GothicNeo" w:hAnsi="Microsoft GothicNeo" w:cs="Microsoft GothicNeo"/>
          <w:bCs/>
          <w:noProof/>
          <w:color w:val="FFFFFF" w:themeColor="background1"/>
        </w:rPr>
        <w:t>-</w:t>
      </w:r>
      <w:r>
        <w:rPr>
          <w:rFonts w:ascii="Microsoft GothicNeo" w:eastAsia="Microsoft GothicNeo" w:hAnsi="Microsoft GothicNeo" w:cs="Microsoft GothicNeo"/>
          <w:bCs/>
          <w:noProof/>
          <w:color w:val="FFFFFF" w:themeColor="background1"/>
        </w:rPr>
        <w:t>09</w:t>
      </w:r>
      <w:r w:rsidR="0078188D" w:rsidRPr="0078188D">
        <w:rPr>
          <w:rFonts w:ascii="Microsoft GothicNeo" w:eastAsia="Microsoft GothicNeo" w:hAnsi="Microsoft GothicNeo" w:cs="Microsoft GothicNeo"/>
          <w:bCs/>
          <w:noProof/>
          <w:color w:val="FFFFFF" w:themeColor="background1"/>
        </w:rPr>
        <w:t xml:space="preserve"> §</w:t>
      </w:r>
      <w:r w:rsidR="00AE26BC">
        <w:rPr>
          <w:rFonts w:ascii="Microsoft GothicNeo" w:eastAsia="Microsoft GothicNeo" w:hAnsi="Microsoft GothicNeo" w:cs="Microsoft GothicNeo"/>
          <w:bCs/>
          <w:noProof/>
          <w:color w:val="FFFFFF" w:themeColor="background1"/>
        </w:rPr>
        <w:t xml:space="preserve"> </w:t>
      </w:r>
      <w:r>
        <w:rPr>
          <w:rFonts w:ascii="Microsoft GothicNeo" w:eastAsia="Microsoft GothicNeo" w:hAnsi="Microsoft GothicNeo" w:cs="Microsoft GothicNeo"/>
          <w:bCs/>
          <w:noProof/>
          <w:color w:val="FFFFFF" w:themeColor="background1"/>
        </w:rPr>
        <w:t>78</w:t>
      </w:r>
    </w:p>
    <w:p w14:paraId="41C0C931" w14:textId="62A9C650" w:rsidR="00AB54F5" w:rsidRDefault="00AB54F5">
      <w:pPr>
        <w:rPr>
          <w:rFonts w:ascii="Microsoft GothicNeo" w:eastAsia="Microsoft GothicNeo" w:hAnsi="Microsoft GothicNeo" w:cs="Microsoft GothicNeo"/>
          <w:bCs/>
          <w:noProof/>
          <w:color w:val="FFFFFF" w:themeColor="background1"/>
        </w:rPr>
      </w:pPr>
      <w:r>
        <w:rPr>
          <w:rFonts w:ascii="Microsoft GothicNeo" w:eastAsia="Microsoft GothicNeo" w:hAnsi="Microsoft GothicNeo" w:cs="Microsoft GothicNeo"/>
          <w:bCs/>
          <w:noProof/>
          <w:color w:val="FFFFFF" w:themeColor="background1"/>
        </w:rPr>
        <w:t>Reviderad av kommunfullmäktige 2024-01-31 § 6</w:t>
      </w:r>
    </w:p>
    <w:p w14:paraId="7A4800AD" w14:textId="374EF4D8" w:rsidR="0078188D" w:rsidRDefault="0078188D">
      <w:pPr>
        <w:rPr>
          <w:rFonts w:ascii="Microsoft GothicNeo" w:eastAsia="Microsoft GothicNeo" w:hAnsi="Microsoft GothicNeo" w:cs="Microsoft GothicNeo"/>
          <w:bCs/>
          <w:noProof/>
          <w:color w:val="FFFFFF" w:themeColor="background1"/>
        </w:rPr>
      </w:pPr>
    </w:p>
    <w:p w14:paraId="6B13D004" w14:textId="72202994" w:rsidR="0078188D" w:rsidRDefault="0078188D">
      <w:pPr>
        <w:rPr>
          <w:rFonts w:ascii="Microsoft GothicNeo" w:eastAsia="Microsoft GothicNeo" w:hAnsi="Microsoft GothicNeo" w:cs="Microsoft GothicNeo"/>
          <w:bCs/>
          <w:noProof/>
          <w:color w:val="FFFFFF" w:themeColor="background1"/>
        </w:rPr>
      </w:pPr>
    </w:p>
    <w:p w14:paraId="56E803FB" w14:textId="1DED9FB5" w:rsidR="0078188D" w:rsidRDefault="0078188D">
      <w:pPr>
        <w:rPr>
          <w:rFonts w:ascii="Microsoft GothicNeo" w:eastAsia="Microsoft GothicNeo" w:hAnsi="Microsoft GothicNeo" w:cs="Microsoft GothicNeo"/>
          <w:bCs/>
          <w:noProof/>
          <w:color w:val="FFFFFF" w:themeColor="background1"/>
        </w:rPr>
      </w:pPr>
    </w:p>
    <w:p w14:paraId="4014AF55" w14:textId="74971BC7" w:rsidR="0078188D" w:rsidRDefault="0078188D">
      <w:pPr>
        <w:rPr>
          <w:rFonts w:ascii="Microsoft GothicNeo" w:eastAsia="Microsoft GothicNeo" w:hAnsi="Microsoft GothicNeo" w:cs="Microsoft GothicNeo"/>
          <w:bCs/>
          <w:noProof/>
          <w:color w:val="FFFFFF" w:themeColor="background1"/>
        </w:rPr>
      </w:pPr>
    </w:p>
    <w:p w14:paraId="6411A191" w14:textId="137036AF" w:rsidR="0078188D" w:rsidRDefault="0078188D">
      <w:pPr>
        <w:rPr>
          <w:rFonts w:ascii="Microsoft GothicNeo" w:eastAsia="Microsoft GothicNeo" w:hAnsi="Microsoft GothicNeo" w:cs="Microsoft GothicNeo"/>
          <w:bCs/>
          <w:noProof/>
          <w:color w:val="FFFFFF" w:themeColor="background1"/>
        </w:rPr>
      </w:pPr>
    </w:p>
    <w:p w14:paraId="52EE867A" w14:textId="23A9EB49" w:rsidR="0078188D" w:rsidRDefault="0078188D">
      <w:pPr>
        <w:rPr>
          <w:rFonts w:ascii="Microsoft GothicNeo" w:eastAsia="Microsoft GothicNeo" w:hAnsi="Microsoft GothicNeo" w:cs="Microsoft GothicNeo"/>
          <w:bCs/>
          <w:noProof/>
          <w:color w:val="FFFFFF" w:themeColor="background1"/>
        </w:rPr>
      </w:pPr>
    </w:p>
    <w:p w14:paraId="47D62B80" w14:textId="77777777" w:rsidR="00952BF8" w:rsidRDefault="00952BF8" w:rsidP="0078188D">
      <w:pPr>
        <w:spacing w:after="120" w:line="216" w:lineRule="auto"/>
        <w:rPr>
          <w:rFonts w:ascii="Amasis MT Pro" w:eastAsia="Microsoft GothicNeo" w:hAnsi="Amasis MT Pro" w:cs="Times New Roman"/>
          <w:b/>
          <w:bCs/>
          <w:sz w:val="28"/>
          <w:szCs w:val="28"/>
        </w:rPr>
      </w:pPr>
    </w:p>
    <w:p w14:paraId="69F70D79" w14:textId="7983941E" w:rsidR="0078188D" w:rsidRPr="0078188D" w:rsidRDefault="0078188D" w:rsidP="0078188D">
      <w:pPr>
        <w:spacing w:after="120" w:line="216" w:lineRule="auto"/>
        <w:rPr>
          <w:rFonts w:ascii="Amasis MT Pro" w:eastAsia="Microsoft GothicNeo" w:hAnsi="Amasis MT Pro" w:cs="Times New Roman"/>
          <w:b/>
          <w:bCs/>
          <w:sz w:val="36"/>
          <w:szCs w:val="36"/>
        </w:rPr>
      </w:pPr>
      <w:r w:rsidRPr="0078188D">
        <w:rPr>
          <w:rFonts w:ascii="Amasis MT Pro" w:eastAsia="Microsoft GothicNeo" w:hAnsi="Amasis MT Pro" w:cs="Times New Roman"/>
          <w:b/>
          <w:bCs/>
          <w:sz w:val="28"/>
          <w:szCs w:val="28"/>
        </w:rPr>
        <w:lastRenderedPageBreak/>
        <w:t>Utgångspunkt</w:t>
      </w:r>
      <w:r w:rsidRPr="0078188D">
        <w:rPr>
          <w:rFonts w:ascii="Amasis MT Pro" w:eastAsia="Microsoft GothicNeo" w:hAnsi="Amasis MT Pro" w:cs="Times New Roman"/>
          <w:b/>
          <w:bCs/>
          <w:sz w:val="36"/>
          <w:szCs w:val="36"/>
        </w:rPr>
        <w:br/>
      </w:r>
      <w:r w:rsidRPr="0078188D">
        <w:rPr>
          <w:rFonts w:ascii="Microsoft GothicNeo" w:eastAsia="Microsoft GothicNeo" w:hAnsi="Microsoft GothicNeo" w:cs="Times New Roman" w:hint="eastAsia"/>
          <w:sz w:val="20"/>
          <w:szCs w:val="20"/>
        </w:rPr>
        <w:t>En framsynt och långsiktig syn på pensionsfrågor hjälper kommunen att attrahera och behålla personal samt underlätta vid framtida generationsväxling.</w:t>
      </w:r>
    </w:p>
    <w:p w14:paraId="45CCD0F8" w14:textId="77777777" w:rsidR="0078188D" w:rsidRPr="0078188D" w:rsidRDefault="0078188D" w:rsidP="0078188D">
      <w:pPr>
        <w:spacing w:after="120" w:line="216" w:lineRule="auto"/>
        <w:rPr>
          <w:rFonts w:ascii="Microsoft GothicNeo" w:eastAsia="Microsoft GothicNeo" w:hAnsi="Microsoft GothicNeo" w:cs="Times New Roman"/>
          <w:sz w:val="20"/>
          <w:szCs w:val="20"/>
        </w:rPr>
      </w:pPr>
      <w:r w:rsidRPr="0078188D">
        <w:rPr>
          <w:rFonts w:ascii="Microsoft GothicNeo" w:eastAsia="Microsoft GothicNeo" w:hAnsi="Microsoft GothicNeo" w:cs="Times New Roman" w:hint="eastAsia"/>
          <w:sz w:val="20"/>
          <w:szCs w:val="20"/>
        </w:rPr>
        <w:t>Pensionspolicyn beskriver det kommunen beslutat ska gälla i specifika pensionsfrågor.</w:t>
      </w:r>
    </w:p>
    <w:p w14:paraId="5D799727" w14:textId="77777777" w:rsidR="0078188D" w:rsidRPr="0078188D" w:rsidRDefault="0078188D" w:rsidP="0078188D">
      <w:pPr>
        <w:spacing w:after="120" w:line="216" w:lineRule="auto"/>
        <w:rPr>
          <w:rFonts w:ascii="Microsoft GothicNeo" w:eastAsia="Microsoft GothicNeo" w:hAnsi="Microsoft GothicNeo" w:cs="Times New Roman"/>
          <w:sz w:val="20"/>
          <w:szCs w:val="20"/>
        </w:rPr>
      </w:pPr>
      <w:r w:rsidRPr="0078188D">
        <w:rPr>
          <w:rFonts w:ascii="Microsoft GothicNeo" w:eastAsia="Microsoft GothicNeo" w:hAnsi="Microsoft GothicNeo" w:cs="Times New Roman" w:hint="eastAsia"/>
          <w:sz w:val="20"/>
          <w:szCs w:val="20"/>
        </w:rPr>
        <w:t>Pensionspolicyn ska användas som en aktiv del i kommunens personalpolitik och omfattar alla anställda.</w:t>
      </w:r>
    </w:p>
    <w:p w14:paraId="1CA8A3F0" w14:textId="77777777" w:rsidR="0078188D" w:rsidRPr="0078188D" w:rsidRDefault="0078188D" w:rsidP="0078188D">
      <w:pPr>
        <w:spacing w:after="120" w:line="216" w:lineRule="auto"/>
        <w:rPr>
          <w:rFonts w:ascii="Microsoft GothicNeo" w:eastAsia="Microsoft GothicNeo" w:hAnsi="Microsoft GothicNeo" w:cs="Times New Roman"/>
          <w:sz w:val="20"/>
          <w:szCs w:val="20"/>
        </w:rPr>
      </w:pPr>
      <w:r w:rsidRPr="0078188D">
        <w:rPr>
          <w:rFonts w:ascii="Microsoft GothicNeo" w:eastAsia="Microsoft GothicNeo" w:hAnsi="Microsoft GothicNeo" w:cs="Times New Roman" w:hint="eastAsia"/>
          <w:sz w:val="20"/>
          <w:szCs w:val="20"/>
        </w:rPr>
        <w:t>Regler för pensionsförmåner för förtroendevalda politiker finns i särskilda tillämpningsanvisningar för förtroendevalda.</w:t>
      </w:r>
    </w:p>
    <w:p w14:paraId="0CA5EFD4" w14:textId="77777777" w:rsidR="0078188D" w:rsidRPr="0078188D" w:rsidRDefault="0078188D" w:rsidP="0078188D">
      <w:pPr>
        <w:spacing w:after="120" w:line="216" w:lineRule="auto"/>
        <w:rPr>
          <w:rFonts w:ascii="Microsoft GothicNeo" w:eastAsia="Microsoft GothicNeo" w:hAnsi="Microsoft GothicNeo" w:cs="Times New Roman"/>
          <w:sz w:val="20"/>
          <w:szCs w:val="20"/>
        </w:rPr>
      </w:pPr>
    </w:p>
    <w:p w14:paraId="54EE4FFC" w14:textId="77777777" w:rsidR="0078188D" w:rsidRPr="0078188D" w:rsidRDefault="0078188D" w:rsidP="0078188D">
      <w:pPr>
        <w:spacing w:after="120" w:line="216" w:lineRule="auto"/>
        <w:rPr>
          <w:rFonts w:ascii="Microsoft GothicNeo" w:eastAsia="Microsoft GothicNeo" w:hAnsi="Microsoft GothicNeo" w:cs="Times New Roman"/>
          <w:sz w:val="20"/>
          <w:szCs w:val="20"/>
        </w:rPr>
      </w:pPr>
      <w:r w:rsidRPr="0078188D">
        <w:rPr>
          <w:rFonts w:ascii="Amasis MT Pro" w:eastAsia="Microsoft GothicNeo" w:hAnsi="Amasis MT Pro" w:cs="Times New Roman"/>
          <w:b/>
          <w:bCs/>
          <w:sz w:val="28"/>
          <w:szCs w:val="28"/>
        </w:rPr>
        <w:t>Mål</w:t>
      </w:r>
      <w:r w:rsidRPr="0078188D">
        <w:rPr>
          <w:rFonts w:ascii="Amasis MT Pro" w:eastAsia="Microsoft GothicNeo" w:hAnsi="Amasis MT Pro" w:cs="Times New Roman"/>
          <w:b/>
          <w:bCs/>
          <w:sz w:val="28"/>
          <w:szCs w:val="28"/>
        </w:rPr>
        <w:br/>
      </w:r>
      <w:r w:rsidRPr="0078188D">
        <w:rPr>
          <w:rFonts w:ascii="Microsoft GothicNeo" w:eastAsia="Microsoft GothicNeo" w:hAnsi="Microsoft GothicNeo" w:cs="Times New Roman" w:hint="eastAsia"/>
          <w:sz w:val="20"/>
          <w:szCs w:val="20"/>
        </w:rPr>
        <w:t>Kommunens mål är att åstadkomma en konsekvent och rättvis hantering av pensionsförmåner och andra förmåner som är knutna till ålder, samt möjliggöra att anställda arbetar längre än vedertagen pensionsålder, alternativt hitta lösningar för den som vill trappa ner efter många års tjänstgöring.</w:t>
      </w:r>
    </w:p>
    <w:p w14:paraId="557F6AAF" w14:textId="77777777" w:rsidR="0078188D" w:rsidRPr="0078188D" w:rsidRDefault="0078188D" w:rsidP="0078188D">
      <w:pPr>
        <w:spacing w:after="120" w:line="216" w:lineRule="auto"/>
        <w:rPr>
          <w:rFonts w:ascii="Amasis MT Pro" w:eastAsia="Microsoft GothicNeo" w:hAnsi="Amasis MT Pro" w:cs="Times New Roman"/>
          <w:b/>
          <w:bCs/>
          <w:sz w:val="28"/>
          <w:szCs w:val="28"/>
        </w:rPr>
      </w:pPr>
    </w:p>
    <w:p w14:paraId="142CAA3F" w14:textId="77777777" w:rsidR="0078188D" w:rsidRPr="0078188D" w:rsidRDefault="0078188D" w:rsidP="0078188D">
      <w:pPr>
        <w:spacing w:after="120" w:line="216" w:lineRule="auto"/>
        <w:rPr>
          <w:rFonts w:ascii="Amasis MT Pro" w:eastAsia="Microsoft GothicNeo" w:hAnsi="Amasis MT Pro" w:cs="Times New Roman"/>
          <w:b/>
          <w:bCs/>
          <w:sz w:val="28"/>
          <w:szCs w:val="28"/>
        </w:rPr>
      </w:pPr>
      <w:r w:rsidRPr="0078188D">
        <w:rPr>
          <w:rFonts w:ascii="Amasis MT Pro" w:eastAsia="Microsoft GothicNeo" w:hAnsi="Amasis MT Pro" w:cs="Times New Roman"/>
          <w:b/>
          <w:bCs/>
          <w:sz w:val="28"/>
          <w:szCs w:val="28"/>
        </w:rPr>
        <w:t>Strategi</w:t>
      </w:r>
      <w:r w:rsidRPr="0078188D">
        <w:rPr>
          <w:rFonts w:ascii="Amasis MT Pro" w:eastAsia="Microsoft GothicNeo" w:hAnsi="Amasis MT Pro" w:cs="Times New Roman"/>
          <w:b/>
          <w:bCs/>
          <w:sz w:val="28"/>
          <w:szCs w:val="28"/>
        </w:rPr>
        <w:br/>
      </w:r>
      <w:r w:rsidRPr="0078188D">
        <w:rPr>
          <w:rFonts w:ascii="Microsoft GothicNeo" w:eastAsia="Microsoft GothicNeo" w:hAnsi="Microsoft GothicNeo" w:cs="Times New Roman" w:hint="eastAsia"/>
          <w:sz w:val="20"/>
          <w:szCs w:val="20"/>
        </w:rPr>
        <w:t>För att nå målet krävs att Falu kommun tydliggör</w:t>
      </w:r>
      <w:r w:rsidRPr="0078188D">
        <w:rPr>
          <w:rFonts w:ascii="Amasis MT Pro" w:eastAsia="Microsoft GothicNeo" w:hAnsi="Amasis MT Pro" w:cs="Times New Roman"/>
          <w:b/>
          <w:bCs/>
          <w:sz w:val="28"/>
          <w:szCs w:val="28"/>
        </w:rPr>
        <w:t xml:space="preserve"> </w:t>
      </w:r>
      <w:r w:rsidRPr="0078188D">
        <w:rPr>
          <w:rFonts w:ascii="Microsoft GothicNeo" w:eastAsia="Microsoft GothicNeo" w:hAnsi="Microsoft GothicNeo" w:cs="Times New Roman" w:hint="eastAsia"/>
          <w:sz w:val="20"/>
          <w:szCs w:val="20"/>
        </w:rPr>
        <w:t>förutsättningarna vid eventuella tillägg eller avsteg från gällande pensionsavtal och bestämmelser</w:t>
      </w:r>
    </w:p>
    <w:p w14:paraId="108BF13B" w14:textId="57B766FA" w:rsidR="0078188D" w:rsidRPr="009B2941" w:rsidRDefault="0078188D" w:rsidP="0078188D">
      <w:pPr>
        <w:spacing w:after="120" w:line="216" w:lineRule="auto"/>
        <w:rPr>
          <w:rFonts w:ascii="Microsoft GothicNeo" w:eastAsia="Microsoft GothicNeo" w:hAnsi="Microsoft GothicNeo" w:cs="Times New Roman"/>
          <w:b/>
          <w:bCs/>
          <w:i/>
          <w:iCs/>
          <w:sz w:val="20"/>
          <w:szCs w:val="20"/>
        </w:rPr>
      </w:pPr>
      <w:r w:rsidRPr="0078188D">
        <w:rPr>
          <w:rFonts w:ascii="Microsoft GothicNeo" w:eastAsia="Microsoft GothicNeo" w:hAnsi="Microsoft GothicNeo" w:cs="Times New Roman" w:hint="eastAsia"/>
          <w:sz w:val="20"/>
          <w:szCs w:val="20"/>
        </w:rPr>
        <w:t>Den här policyn med tillhörande riktlinjer beskriver de regler som gäller för beviljande av löneväxling, 80 - 100 modellen</w:t>
      </w:r>
      <w:r w:rsidR="007C7E59">
        <w:rPr>
          <w:rFonts w:ascii="Microsoft GothicNeo" w:eastAsia="Microsoft GothicNeo" w:hAnsi="Microsoft GothicNeo" w:cs="Times New Roman"/>
          <w:sz w:val="20"/>
          <w:szCs w:val="20"/>
        </w:rPr>
        <w:t xml:space="preserve"> och</w:t>
      </w:r>
      <w:r w:rsidRPr="0078188D">
        <w:rPr>
          <w:rFonts w:ascii="Microsoft GothicNeo" w:eastAsia="Microsoft GothicNeo" w:hAnsi="Microsoft GothicNeo" w:cs="Times New Roman" w:hint="eastAsia"/>
          <w:sz w:val="20"/>
          <w:szCs w:val="20"/>
        </w:rPr>
        <w:t xml:space="preserve"> särskild avtalspension</w:t>
      </w:r>
      <w:r w:rsidR="007C7E59">
        <w:rPr>
          <w:rFonts w:ascii="Microsoft GothicNeo" w:eastAsia="Microsoft GothicNeo" w:hAnsi="Microsoft GothicNeo" w:cs="Times New Roman"/>
          <w:sz w:val="20"/>
          <w:szCs w:val="20"/>
        </w:rPr>
        <w:t>.</w:t>
      </w:r>
    </w:p>
    <w:p w14:paraId="63B21CB4" w14:textId="77777777" w:rsidR="0078188D" w:rsidRPr="0078188D" w:rsidRDefault="0078188D" w:rsidP="0078188D">
      <w:pPr>
        <w:spacing w:after="120" w:line="216" w:lineRule="auto"/>
        <w:rPr>
          <w:rFonts w:ascii="Microsoft GothicNeo" w:eastAsia="Microsoft GothicNeo" w:hAnsi="Microsoft GothicNeo" w:cs="Times New Roman"/>
          <w:sz w:val="20"/>
          <w:szCs w:val="20"/>
        </w:rPr>
      </w:pPr>
    </w:p>
    <w:p w14:paraId="43040F0A" w14:textId="77777777" w:rsidR="0078188D" w:rsidRPr="0078188D" w:rsidRDefault="0078188D" w:rsidP="0078188D">
      <w:pPr>
        <w:spacing w:after="120" w:line="216" w:lineRule="auto"/>
        <w:rPr>
          <w:rFonts w:ascii="Amasis MT Pro" w:eastAsia="Microsoft GothicNeo" w:hAnsi="Amasis MT Pro" w:cs="Times New Roman"/>
          <w:b/>
          <w:bCs/>
          <w:sz w:val="28"/>
          <w:szCs w:val="28"/>
        </w:rPr>
      </w:pPr>
      <w:r w:rsidRPr="0078188D">
        <w:rPr>
          <w:rFonts w:ascii="Amasis MT Pro" w:eastAsia="Microsoft GothicNeo" w:hAnsi="Amasis MT Pro" w:cs="Times New Roman"/>
          <w:b/>
          <w:bCs/>
          <w:sz w:val="28"/>
          <w:szCs w:val="28"/>
        </w:rPr>
        <w:t>Beslutsordning</w:t>
      </w:r>
      <w:r w:rsidRPr="0078188D">
        <w:rPr>
          <w:rFonts w:ascii="Amasis MT Pro" w:eastAsia="Microsoft GothicNeo" w:hAnsi="Amasis MT Pro" w:cs="Times New Roman"/>
          <w:b/>
          <w:bCs/>
          <w:sz w:val="28"/>
          <w:szCs w:val="28"/>
        </w:rPr>
        <w:br/>
      </w:r>
      <w:r w:rsidRPr="0078188D">
        <w:rPr>
          <w:rFonts w:ascii="Microsoft GothicNeo" w:eastAsia="Microsoft GothicNeo" w:hAnsi="Microsoft GothicNeo" w:cs="Times New Roman" w:hint="eastAsia"/>
          <w:sz w:val="20"/>
          <w:szCs w:val="20"/>
        </w:rPr>
        <w:t>Kommunfullmäktige beslutar om pensionspolicyn.</w:t>
      </w:r>
    </w:p>
    <w:p w14:paraId="5F74C820" w14:textId="77777777" w:rsidR="0078188D" w:rsidRPr="0078188D" w:rsidRDefault="0078188D" w:rsidP="0078188D">
      <w:pPr>
        <w:spacing w:after="120" w:line="216" w:lineRule="auto"/>
        <w:rPr>
          <w:rFonts w:ascii="Microsoft GothicNeo" w:eastAsia="Microsoft GothicNeo" w:hAnsi="Microsoft GothicNeo" w:cs="Times New Roman"/>
          <w:sz w:val="20"/>
          <w:szCs w:val="20"/>
        </w:rPr>
      </w:pPr>
      <w:r w:rsidRPr="0078188D">
        <w:rPr>
          <w:rFonts w:ascii="Microsoft GothicNeo" w:eastAsia="Microsoft GothicNeo" w:hAnsi="Microsoft GothicNeo" w:cs="Times New Roman" w:hint="eastAsia"/>
          <w:sz w:val="20"/>
          <w:szCs w:val="20"/>
        </w:rPr>
        <w:t xml:space="preserve">Förhandlingsutskottet ansvarar i sin arbetsgivarroll för de anställdas pensionsvillkor. </w:t>
      </w:r>
    </w:p>
    <w:p w14:paraId="1E2E6A8A" w14:textId="2C8793B2" w:rsidR="0078188D" w:rsidRPr="0078188D" w:rsidRDefault="0078188D" w:rsidP="0078188D">
      <w:pPr>
        <w:spacing w:after="120" w:line="216" w:lineRule="auto"/>
        <w:rPr>
          <w:rFonts w:ascii="Microsoft GothicNeo" w:eastAsia="Microsoft GothicNeo" w:hAnsi="Microsoft GothicNeo" w:cs="Times New Roman"/>
          <w:sz w:val="20"/>
          <w:szCs w:val="20"/>
        </w:rPr>
      </w:pPr>
      <w:r w:rsidRPr="0078188D">
        <w:rPr>
          <w:rFonts w:ascii="Microsoft GothicNeo" w:eastAsia="Microsoft GothicNeo" w:hAnsi="Microsoft GothicNeo" w:cs="Times New Roman" w:hint="eastAsia"/>
          <w:sz w:val="20"/>
          <w:szCs w:val="20"/>
        </w:rPr>
        <w:t xml:space="preserve">HR - chefen på </w:t>
      </w:r>
      <w:r w:rsidR="009C66C9">
        <w:rPr>
          <w:rFonts w:ascii="Microsoft GothicNeo" w:eastAsia="Microsoft GothicNeo" w:hAnsi="Microsoft GothicNeo" w:cs="Times New Roman"/>
          <w:sz w:val="20"/>
          <w:szCs w:val="20"/>
        </w:rPr>
        <w:t>p</w:t>
      </w:r>
      <w:r w:rsidRPr="0078188D">
        <w:rPr>
          <w:rFonts w:ascii="Microsoft GothicNeo" w:eastAsia="Microsoft GothicNeo" w:hAnsi="Microsoft GothicNeo" w:cs="Times New Roman" w:hint="eastAsia"/>
          <w:sz w:val="20"/>
          <w:szCs w:val="20"/>
        </w:rPr>
        <w:t xml:space="preserve">ersonalkontoret beslutar </w:t>
      </w:r>
      <w:r w:rsidR="009015EF">
        <w:rPr>
          <w:rFonts w:ascii="Microsoft GothicNeo" w:eastAsia="Microsoft GothicNeo" w:hAnsi="Microsoft GothicNeo" w:cs="Times New Roman"/>
          <w:sz w:val="20"/>
          <w:szCs w:val="20"/>
        </w:rPr>
        <w:t>om särskild avtalspension</w:t>
      </w:r>
      <w:r w:rsidRPr="0078188D">
        <w:rPr>
          <w:rFonts w:ascii="Microsoft GothicNeo" w:eastAsia="Microsoft GothicNeo" w:hAnsi="Microsoft GothicNeo" w:cs="Times New Roman" w:hint="eastAsia"/>
          <w:sz w:val="20"/>
          <w:szCs w:val="20"/>
        </w:rPr>
        <w:t>.</w:t>
      </w:r>
    </w:p>
    <w:p w14:paraId="75B9EDB9" w14:textId="0DD59F05" w:rsidR="0078188D" w:rsidRPr="0078188D" w:rsidRDefault="0078188D" w:rsidP="0078188D">
      <w:pPr>
        <w:spacing w:after="120" w:line="216" w:lineRule="auto"/>
        <w:rPr>
          <w:rFonts w:ascii="Microsoft GothicNeo" w:eastAsia="Microsoft GothicNeo" w:hAnsi="Microsoft GothicNeo" w:cs="Times New Roman"/>
          <w:sz w:val="20"/>
          <w:szCs w:val="20"/>
        </w:rPr>
      </w:pPr>
      <w:r w:rsidRPr="0078188D">
        <w:rPr>
          <w:rFonts w:ascii="Microsoft GothicNeo" w:eastAsia="Microsoft GothicNeo" w:hAnsi="Microsoft GothicNeo" w:cs="Times New Roman" w:hint="eastAsia"/>
          <w:sz w:val="20"/>
          <w:szCs w:val="20"/>
        </w:rPr>
        <w:t xml:space="preserve">HR – avdelningen på </w:t>
      </w:r>
      <w:r w:rsidR="009C66C9">
        <w:rPr>
          <w:rFonts w:ascii="Microsoft GothicNeo" w:eastAsia="Microsoft GothicNeo" w:hAnsi="Microsoft GothicNeo" w:cs="Times New Roman"/>
          <w:sz w:val="20"/>
          <w:szCs w:val="20"/>
        </w:rPr>
        <w:t>p</w:t>
      </w:r>
      <w:r w:rsidRPr="0078188D">
        <w:rPr>
          <w:rFonts w:ascii="Microsoft GothicNeo" w:eastAsia="Microsoft GothicNeo" w:hAnsi="Microsoft GothicNeo" w:cs="Times New Roman" w:hint="eastAsia"/>
          <w:sz w:val="20"/>
          <w:szCs w:val="20"/>
        </w:rPr>
        <w:t>ersonalkontoret ansvarar för Falu kommuns pensionsadministration.</w:t>
      </w:r>
    </w:p>
    <w:p w14:paraId="78E1B7E2" w14:textId="40267A49" w:rsidR="0078188D" w:rsidRDefault="0078188D" w:rsidP="0078188D">
      <w:pPr>
        <w:spacing w:after="120" w:line="216" w:lineRule="auto"/>
        <w:rPr>
          <w:rFonts w:ascii="Microsoft GothicNeo" w:eastAsia="Microsoft GothicNeo" w:hAnsi="Microsoft GothicNeo" w:cs="Times New Roman"/>
          <w:sz w:val="20"/>
          <w:szCs w:val="20"/>
        </w:rPr>
      </w:pPr>
    </w:p>
    <w:p w14:paraId="1F2E244E" w14:textId="7E4F96DA" w:rsidR="00AC6E82" w:rsidRDefault="00AC6E82" w:rsidP="0078188D">
      <w:pPr>
        <w:spacing w:after="120" w:line="216" w:lineRule="auto"/>
        <w:rPr>
          <w:rFonts w:ascii="Microsoft GothicNeo" w:eastAsia="Microsoft GothicNeo" w:hAnsi="Microsoft GothicNeo" w:cs="Times New Roman"/>
          <w:sz w:val="20"/>
          <w:szCs w:val="20"/>
        </w:rPr>
      </w:pPr>
    </w:p>
    <w:p w14:paraId="4E5B22BA" w14:textId="19502B64" w:rsidR="00952BF8" w:rsidRDefault="00952BF8" w:rsidP="0078188D">
      <w:pPr>
        <w:spacing w:after="120" w:line="216" w:lineRule="auto"/>
        <w:rPr>
          <w:rFonts w:ascii="Microsoft GothicNeo" w:eastAsia="Microsoft GothicNeo" w:hAnsi="Microsoft GothicNeo" w:cs="Times New Roman"/>
          <w:sz w:val="20"/>
          <w:szCs w:val="20"/>
        </w:rPr>
      </w:pPr>
    </w:p>
    <w:p w14:paraId="339D4B6F" w14:textId="77777777" w:rsidR="00952BF8" w:rsidRDefault="00952BF8" w:rsidP="0078188D">
      <w:pPr>
        <w:spacing w:after="120" w:line="216" w:lineRule="auto"/>
        <w:rPr>
          <w:rFonts w:ascii="Microsoft GothicNeo" w:eastAsia="Microsoft GothicNeo" w:hAnsi="Microsoft GothicNeo" w:cs="Times New Roman"/>
          <w:sz w:val="20"/>
          <w:szCs w:val="20"/>
        </w:rPr>
      </w:pPr>
    </w:p>
    <w:p w14:paraId="79C49584" w14:textId="05A8DEE5" w:rsidR="00AC6E82" w:rsidRDefault="00AC6E82" w:rsidP="0078188D">
      <w:pPr>
        <w:spacing w:after="120" w:line="216" w:lineRule="auto"/>
        <w:rPr>
          <w:rFonts w:ascii="Microsoft GothicNeo" w:eastAsia="Microsoft GothicNeo" w:hAnsi="Microsoft GothicNeo" w:cs="Times New Roman"/>
          <w:sz w:val="20"/>
          <w:szCs w:val="20"/>
        </w:rPr>
      </w:pPr>
    </w:p>
    <w:p w14:paraId="3A7BA712" w14:textId="34C53A00" w:rsidR="00AC6E82" w:rsidRDefault="00AC6E82" w:rsidP="0078188D">
      <w:pPr>
        <w:spacing w:after="120" w:line="216" w:lineRule="auto"/>
        <w:rPr>
          <w:rFonts w:ascii="Microsoft GothicNeo" w:eastAsia="Microsoft GothicNeo" w:hAnsi="Microsoft GothicNeo" w:cs="Times New Roman"/>
          <w:sz w:val="20"/>
          <w:szCs w:val="20"/>
        </w:rPr>
      </w:pPr>
    </w:p>
    <w:p w14:paraId="0D4EF163" w14:textId="288F1F35" w:rsidR="00AC6E82" w:rsidRDefault="00AC6E82" w:rsidP="0078188D">
      <w:pPr>
        <w:spacing w:after="120" w:line="216" w:lineRule="auto"/>
        <w:rPr>
          <w:rFonts w:ascii="Microsoft GothicNeo" w:eastAsia="Microsoft GothicNeo" w:hAnsi="Microsoft GothicNeo" w:cs="Times New Roman"/>
          <w:sz w:val="20"/>
          <w:szCs w:val="20"/>
        </w:rPr>
      </w:pPr>
    </w:p>
    <w:p w14:paraId="15AD0F98" w14:textId="2B3BFDCE" w:rsidR="00AC6E82" w:rsidRDefault="00AC6E82" w:rsidP="0078188D">
      <w:pPr>
        <w:spacing w:after="120" w:line="216" w:lineRule="auto"/>
        <w:rPr>
          <w:rFonts w:ascii="Microsoft GothicNeo" w:eastAsia="Microsoft GothicNeo" w:hAnsi="Microsoft GothicNeo" w:cs="Times New Roman"/>
          <w:sz w:val="20"/>
          <w:szCs w:val="20"/>
        </w:rPr>
      </w:pPr>
    </w:p>
    <w:p w14:paraId="37849B88" w14:textId="754F861F" w:rsidR="00AC6E82" w:rsidRDefault="00AC6E82" w:rsidP="0078188D">
      <w:pPr>
        <w:spacing w:after="120" w:line="216" w:lineRule="auto"/>
        <w:rPr>
          <w:rFonts w:ascii="Microsoft GothicNeo" w:eastAsia="Microsoft GothicNeo" w:hAnsi="Microsoft GothicNeo" w:cs="Times New Roman"/>
          <w:sz w:val="20"/>
          <w:szCs w:val="20"/>
        </w:rPr>
      </w:pPr>
    </w:p>
    <w:p w14:paraId="06D94BAD" w14:textId="5938DB6D" w:rsidR="00AC6E82" w:rsidRDefault="00AC6E82" w:rsidP="0078188D">
      <w:pPr>
        <w:spacing w:after="120" w:line="216" w:lineRule="auto"/>
        <w:rPr>
          <w:rFonts w:ascii="Microsoft GothicNeo" w:eastAsia="Microsoft GothicNeo" w:hAnsi="Microsoft GothicNeo" w:cs="Times New Roman"/>
          <w:sz w:val="20"/>
          <w:szCs w:val="20"/>
        </w:rPr>
      </w:pPr>
    </w:p>
    <w:p w14:paraId="7546CB8C" w14:textId="77777777" w:rsidR="00AC6E82" w:rsidRPr="0078188D" w:rsidRDefault="00AC6E82" w:rsidP="0078188D">
      <w:pPr>
        <w:spacing w:after="120" w:line="216" w:lineRule="auto"/>
        <w:rPr>
          <w:rFonts w:ascii="Microsoft GothicNeo" w:eastAsia="Microsoft GothicNeo" w:hAnsi="Microsoft GothicNeo" w:cs="Times New Roman"/>
          <w:sz w:val="20"/>
          <w:szCs w:val="20"/>
        </w:rPr>
      </w:pPr>
    </w:p>
    <w:p w14:paraId="55AB3345" w14:textId="77777777" w:rsidR="007C7E59" w:rsidRDefault="007C7E59" w:rsidP="0078188D">
      <w:pPr>
        <w:spacing w:after="120" w:line="216" w:lineRule="auto"/>
        <w:rPr>
          <w:rFonts w:ascii="Amasis MT Pro" w:eastAsia="Microsoft GothicNeo" w:hAnsi="Amasis MT Pro" w:cs="Times New Roman"/>
          <w:b/>
          <w:bCs/>
          <w:sz w:val="28"/>
          <w:szCs w:val="28"/>
        </w:rPr>
      </w:pPr>
    </w:p>
    <w:p w14:paraId="065845AD" w14:textId="31F66C73" w:rsidR="0078188D" w:rsidRDefault="0078188D" w:rsidP="0078188D">
      <w:pPr>
        <w:spacing w:after="120" w:line="216" w:lineRule="auto"/>
        <w:rPr>
          <w:rFonts w:ascii="Microsoft GothicNeo" w:eastAsia="Microsoft GothicNeo" w:hAnsi="Microsoft GothicNeo" w:cs="Times New Roman"/>
          <w:sz w:val="20"/>
          <w:szCs w:val="20"/>
        </w:rPr>
      </w:pPr>
      <w:r w:rsidRPr="0078188D">
        <w:rPr>
          <w:rFonts w:ascii="Amasis MT Pro" w:eastAsia="Microsoft GothicNeo" w:hAnsi="Amasis MT Pro" w:cs="Times New Roman"/>
          <w:b/>
          <w:bCs/>
          <w:sz w:val="28"/>
          <w:szCs w:val="28"/>
        </w:rPr>
        <w:lastRenderedPageBreak/>
        <w:t>Pension till medarbetare</w:t>
      </w:r>
      <w:bookmarkStart w:id="0" w:name="_Hlk139272010"/>
      <w:bookmarkStart w:id="1" w:name="_Hlk139294965"/>
      <w:r w:rsidRPr="0078188D">
        <w:rPr>
          <w:rFonts w:ascii="Amasis MT Pro" w:eastAsia="Microsoft GothicNeo" w:hAnsi="Amasis MT Pro" w:cs="Times New Roman"/>
          <w:b/>
          <w:bCs/>
          <w:sz w:val="28"/>
          <w:szCs w:val="28"/>
        </w:rPr>
        <w:br/>
      </w:r>
      <w:r w:rsidRPr="0078188D">
        <w:rPr>
          <w:rFonts w:ascii="Microsoft GothicNeo" w:eastAsia="Microsoft GothicNeo" w:hAnsi="Microsoft GothicNeo" w:cs="Times New Roman" w:hint="eastAsia"/>
          <w:sz w:val="20"/>
          <w:szCs w:val="20"/>
        </w:rPr>
        <w:t xml:space="preserve">Kommunens anställda omfattas för närvarande av pensionsavtalen AKAP-KR och KAP-KL (för anställda med inkomst över 7,5 inkomstbelopp som valt att stanna kvar i KAP-KL). Anställda som har fått rätt till sjukersättning omfattas inte av AKAP-KR utan av det tidigare pensionsavtal som gällde vid aktuella tidpunkten. </w:t>
      </w:r>
    </w:p>
    <w:p w14:paraId="0375B8F8" w14:textId="31BFBCEA" w:rsidR="0078188D" w:rsidRPr="00AC6E82" w:rsidRDefault="00AC6E82" w:rsidP="0078188D">
      <w:pPr>
        <w:spacing w:after="120" w:line="216" w:lineRule="auto"/>
        <w:rPr>
          <w:rFonts w:ascii="Microsoft GothicNeo" w:eastAsia="Microsoft GothicNeo" w:hAnsi="Microsoft GothicNeo" w:cs="Times New Roman"/>
          <w:sz w:val="20"/>
          <w:szCs w:val="20"/>
        </w:rPr>
      </w:pPr>
      <w:r w:rsidRPr="00AC6E82">
        <w:rPr>
          <w:rFonts w:ascii="Microsoft GothicNeo" w:eastAsia="Microsoft GothicNeo" w:hAnsi="Microsoft GothicNeo" w:cs="Times New Roman"/>
          <w:sz w:val="20"/>
          <w:szCs w:val="20"/>
        </w:rPr>
        <w:t xml:space="preserve">Pensionsavtalet KAP-KL och AKAP-KR innehåller möjligheter till lokala överenskommelser. </w:t>
      </w:r>
      <w:r w:rsidR="009C66C9">
        <w:rPr>
          <w:rFonts w:ascii="Microsoft GothicNeo" w:eastAsia="Microsoft GothicNeo" w:hAnsi="Microsoft GothicNeo" w:cs="Times New Roman"/>
          <w:sz w:val="20"/>
          <w:szCs w:val="20"/>
        </w:rPr>
        <w:t>K</w:t>
      </w:r>
      <w:r w:rsidRPr="00AC6E82">
        <w:rPr>
          <w:rFonts w:ascii="Microsoft GothicNeo" w:eastAsia="Microsoft GothicNeo" w:hAnsi="Microsoft GothicNeo" w:cs="Times New Roman"/>
          <w:sz w:val="20"/>
          <w:szCs w:val="20"/>
        </w:rPr>
        <w:t>ommunen</w:t>
      </w:r>
      <w:r w:rsidR="009C66C9">
        <w:rPr>
          <w:rFonts w:ascii="Microsoft GothicNeo" w:eastAsia="Microsoft GothicNeo" w:hAnsi="Microsoft GothicNeo" w:cs="Times New Roman"/>
          <w:sz w:val="20"/>
          <w:szCs w:val="20"/>
        </w:rPr>
        <w:t xml:space="preserve"> har</w:t>
      </w:r>
      <w:r w:rsidRPr="00AC6E82">
        <w:rPr>
          <w:rFonts w:ascii="Microsoft GothicNeo" w:eastAsia="Microsoft GothicNeo" w:hAnsi="Microsoft GothicNeo" w:cs="Times New Roman"/>
          <w:sz w:val="20"/>
          <w:szCs w:val="20"/>
        </w:rPr>
        <w:t xml:space="preserve"> beslutat vad som ska gälla i specifika pensionsfrågor, vilket beskrivs i dessa riktlinjer.</w:t>
      </w:r>
    </w:p>
    <w:bookmarkEnd w:id="0"/>
    <w:bookmarkEnd w:id="1"/>
    <w:p w14:paraId="5645C1A2" w14:textId="37FBA9BA" w:rsidR="0078188D" w:rsidRPr="0078188D" w:rsidRDefault="0078188D" w:rsidP="0078188D">
      <w:pPr>
        <w:spacing w:after="120" w:line="216" w:lineRule="auto"/>
        <w:rPr>
          <w:rFonts w:ascii="Microsoft GothicNeo" w:eastAsia="Microsoft GothicNeo" w:hAnsi="Microsoft GothicNeo" w:cs="Times New Roman"/>
          <w:sz w:val="20"/>
          <w:szCs w:val="20"/>
        </w:rPr>
      </w:pPr>
      <w:r w:rsidRPr="00AC6E82">
        <w:rPr>
          <w:rFonts w:ascii="Microsoft GothicNeo" w:eastAsia="Microsoft GothicNeo" w:hAnsi="Microsoft GothicNeo" w:cs="Microsoft GothicNeo"/>
          <w:b/>
          <w:bCs/>
          <w:sz w:val="24"/>
          <w:szCs w:val="24"/>
        </w:rPr>
        <w:t>Möjlighet till minskad arbetstid för äldre anställda</w:t>
      </w:r>
      <w:r w:rsidRPr="0078188D">
        <w:rPr>
          <w:rFonts w:ascii="Amasis MT Pro" w:eastAsia="Microsoft GothicNeo" w:hAnsi="Amasis MT Pro" w:cs="Times New Roman"/>
          <w:b/>
          <w:bCs/>
          <w:sz w:val="24"/>
          <w:szCs w:val="24"/>
        </w:rPr>
        <w:br/>
      </w:r>
      <w:r w:rsidRPr="0078188D">
        <w:rPr>
          <w:rFonts w:ascii="Microsoft GothicNeo" w:eastAsia="Microsoft GothicNeo" w:hAnsi="Microsoft GothicNeo" w:cs="Times New Roman" w:hint="eastAsia"/>
          <w:sz w:val="20"/>
          <w:szCs w:val="20"/>
        </w:rPr>
        <w:t xml:space="preserve">I syfte att öka förutsättningarna för äldre anställda att arbeta till vald pensionsålder, samt underlätta vid framtida generationsväxling, erbjuder kommunen möjlighet till minskad arbetstid för äldre anställda. </w:t>
      </w:r>
    </w:p>
    <w:p w14:paraId="4D223EE4" w14:textId="0923A61F" w:rsidR="0078188D" w:rsidRPr="009015EF" w:rsidRDefault="0078188D" w:rsidP="0078188D">
      <w:pPr>
        <w:spacing w:after="120" w:line="216" w:lineRule="auto"/>
        <w:rPr>
          <w:rFonts w:ascii="Amasis MT Pro" w:eastAsia="Microsoft GothicNeo" w:hAnsi="Amasis MT Pro" w:cs="Times New Roman"/>
          <w:b/>
          <w:bCs/>
          <w:sz w:val="28"/>
          <w:szCs w:val="28"/>
        </w:rPr>
      </w:pPr>
      <w:r w:rsidRPr="00AC6E82">
        <w:rPr>
          <w:rFonts w:ascii="Microsoft GothicNeo" w:eastAsia="Microsoft GothicNeo" w:hAnsi="Microsoft GothicNeo" w:cs="Microsoft GothicNeo"/>
          <w:b/>
          <w:bCs/>
          <w:sz w:val="24"/>
          <w:szCs w:val="24"/>
        </w:rPr>
        <w:t>80–100-modellen med bibehållen tjänstepension</w:t>
      </w:r>
      <w:r w:rsidRPr="0078188D">
        <w:rPr>
          <w:rFonts w:ascii="Amasis MT Pro" w:eastAsia="Microsoft GothicNeo" w:hAnsi="Amasis MT Pro" w:cs="Times New Roman"/>
          <w:b/>
          <w:bCs/>
          <w:sz w:val="28"/>
          <w:szCs w:val="28"/>
        </w:rPr>
        <w:br/>
      </w:r>
      <w:r w:rsidRPr="0078188D">
        <w:rPr>
          <w:rFonts w:ascii="Microsoft GothicNeo" w:eastAsia="Microsoft GothicNeo" w:hAnsi="Microsoft GothicNeo" w:cs="Times New Roman" w:hint="eastAsia"/>
          <w:sz w:val="20"/>
          <w:szCs w:val="20"/>
        </w:rPr>
        <w:t xml:space="preserve">Möjligheten gäller tillsvidareanställda </w:t>
      </w:r>
      <w:bookmarkStart w:id="2" w:name="_Hlk139273925"/>
      <w:r w:rsidRPr="0078188D">
        <w:rPr>
          <w:rFonts w:ascii="Microsoft GothicNeo" w:eastAsia="Microsoft GothicNeo" w:hAnsi="Microsoft GothicNeo" w:cs="Times New Roman" w:hint="eastAsia"/>
          <w:sz w:val="20"/>
          <w:szCs w:val="20"/>
        </w:rPr>
        <w:t xml:space="preserve">från 61 års ålder </w:t>
      </w:r>
      <w:bookmarkEnd w:id="2"/>
      <w:r w:rsidRPr="0078188D">
        <w:rPr>
          <w:rFonts w:ascii="Microsoft GothicNeo" w:eastAsia="Microsoft GothicNeo" w:hAnsi="Microsoft GothicNeo" w:cs="Times New Roman" w:hint="eastAsia"/>
          <w:sz w:val="20"/>
          <w:szCs w:val="20"/>
        </w:rPr>
        <w:t xml:space="preserve">som har en heltidsanställning och innebär att den anställde minskar sin arbetstid till lägst 80 %, anställningen omregleras. Lön utbetalas för den faktiska sysselsättningsgraden och det fortsatta tjänstepensionsintjänandet behålls oförändrat. </w:t>
      </w:r>
    </w:p>
    <w:p w14:paraId="35D37EE8" w14:textId="77777777" w:rsidR="0078188D" w:rsidRPr="0078188D" w:rsidRDefault="0078188D" w:rsidP="0078188D">
      <w:pPr>
        <w:spacing w:after="120" w:line="216" w:lineRule="auto"/>
        <w:rPr>
          <w:rFonts w:ascii="Microsoft GothicNeo" w:eastAsia="Microsoft GothicNeo" w:hAnsi="Microsoft GothicNeo" w:cs="Times New Roman"/>
          <w:sz w:val="20"/>
          <w:szCs w:val="20"/>
        </w:rPr>
      </w:pPr>
      <w:r w:rsidRPr="0078188D">
        <w:rPr>
          <w:rFonts w:ascii="Microsoft GothicNeo" w:eastAsia="Microsoft GothicNeo" w:hAnsi="Microsoft GothicNeo" w:cs="Times New Roman" w:hint="eastAsia"/>
          <w:sz w:val="20"/>
          <w:szCs w:val="20"/>
        </w:rPr>
        <w:t xml:space="preserve">Som pensionsgrundande lön för tjänstepensionen tillgodoräknas den fasta lönen före arbetstidsminskningen, upp till 7,5 inkomstbasbelopp. Denna lön förändras sedan procentuellt med faktiska löneökningar. </w:t>
      </w:r>
    </w:p>
    <w:p w14:paraId="71B2BB4C" w14:textId="4CAB25C0" w:rsidR="0078188D" w:rsidRPr="0078188D" w:rsidRDefault="0078188D" w:rsidP="0078188D">
      <w:pPr>
        <w:spacing w:after="120" w:line="216" w:lineRule="auto"/>
        <w:rPr>
          <w:rFonts w:ascii="Microsoft GothicNeo" w:eastAsia="Microsoft GothicNeo" w:hAnsi="Microsoft GothicNeo" w:cs="Times New Roman"/>
          <w:b/>
          <w:bCs/>
          <w:sz w:val="20"/>
          <w:szCs w:val="20"/>
        </w:rPr>
      </w:pPr>
      <w:r w:rsidRPr="0078188D">
        <w:rPr>
          <w:rFonts w:ascii="Microsoft GothicNeo" w:eastAsia="Microsoft GothicNeo" w:hAnsi="Microsoft GothicNeo" w:cs="Times New Roman" w:hint="eastAsia"/>
          <w:sz w:val="20"/>
          <w:szCs w:val="20"/>
        </w:rPr>
        <w:t>När ändring av anställning är genomförd enligt denna modell kan anställd inte arbeta mer än vald sysselsättningsgrad.</w:t>
      </w:r>
    </w:p>
    <w:p w14:paraId="70C8591A" w14:textId="575C895A" w:rsidR="0078188D" w:rsidRPr="0078188D" w:rsidRDefault="0078188D" w:rsidP="0078188D">
      <w:pPr>
        <w:spacing w:after="120" w:line="216" w:lineRule="auto"/>
        <w:rPr>
          <w:rFonts w:ascii="Microsoft GothicNeo" w:eastAsia="Microsoft GothicNeo" w:hAnsi="Microsoft GothicNeo" w:cs="Times New Roman"/>
          <w:sz w:val="20"/>
          <w:szCs w:val="20"/>
        </w:rPr>
      </w:pPr>
      <w:r w:rsidRPr="00AC6E82">
        <w:rPr>
          <w:rFonts w:ascii="Microsoft GothicNeo" w:eastAsia="Microsoft GothicNeo" w:hAnsi="Microsoft GothicNeo" w:cs="Microsoft GothicNeo"/>
          <w:b/>
          <w:bCs/>
          <w:sz w:val="24"/>
          <w:szCs w:val="24"/>
        </w:rPr>
        <w:t>Särskild avtalspension enligt överenskommelse</w:t>
      </w:r>
      <w:r w:rsidRPr="0078188D">
        <w:rPr>
          <w:rFonts w:ascii="Amasis MT Pro" w:eastAsia="Microsoft GothicNeo" w:hAnsi="Amasis MT Pro" w:cs="Times New Roman"/>
          <w:sz w:val="20"/>
          <w:szCs w:val="20"/>
        </w:rPr>
        <w:br/>
      </w:r>
      <w:r w:rsidR="0010637E" w:rsidRPr="0010637E">
        <w:rPr>
          <w:rFonts w:ascii="Microsoft GothicNeo" w:eastAsia="Microsoft GothicNeo" w:hAnsi="Microsoft GothicNeo" w:cs="Times New Roman"/>
          <w:sz w:val="20"/>
          <w:szCs w:val="20"/>
        </w:rPr>
        <w:t xml:space="preserve">Särskild avtalspension ska användas med stor restriktivitet och återhållsamhet. </w:t>
      </w:r>
      <w:r w:rsidRPr="0078188D">
        <w:rPr>
          <w:rFonts w:ascii="Microsoft GothicNeo" w:eastAsia="Microsoft GothicNeo" w:hAnsi="Microsoft GothicNeo" w:cs="Times New Roman" w:hint="eastAsia"/>
          <w:sz w:val="20"/>
          <w:szCs w:val="20"/>
        </w:rPr>
        <w:t xml:space="preserve">Särskild avtalspension kan </w:t>
      </w:r>
      <w:r w:rsidR="0010637E">
        <w:rPr>
          <w:rFonts w:ascii="Microsoft GothicNeo" w:eastAsia="Microsoft GothicNeo" w:hAnsi="Microsoft GothicNeo" w:cs="Times New Roman"/>
          <w:sz w:val="20"/>
          <w:szCs w:val="20"/>
        </w:rPr>
        <w:t>överenskommas mellan arbetsgivaren och</w:t>
      </w:r>
      <w:r w:rsidRPr="0078188D">
        <w:rPr>
          <w:rFonts w:ascii="Microsoft GothicNeo" w:eastAsia="Microsoft GothicNeo" w:hAnsi="Microsoft GothicNeo" w:cs="Times New Roman" w:hint="eastAsia"/>
          <w:sz w:val="20"/>
          <w:szCs w:val="20"/>
        </w:rPr>
        <w:t xml:space="preserve"> anställda som har fyllt 61 år </w:t>
      </w:r>
      <w:r w:rsidR="0010637E">
        <w:rPr>
          <w:rFonts w:ascii="Microsoft GothicNeo" w:eastAsia="Microsoft GothicNeo" w:hAnsi="Microsoft GothicNeo" w:cs="Times New Roman"/>
          <w:sz w:val="20"/>
          <w:szCs w:val="20"/>
        </w:rPr>
        <w:t xml:space="preserve">och har 10 års sammanhängande anställning i direkt anslutning till pensionsavgången. Överenskommelse kan ingås </w:t>
      </w:r>
      <w:r w:rsidRPr="0078188D">
        <w:rPr>
          <w:rFonts w:ascii="Microsoft GothicNeo" w:eastAsia="Microsoft GothicNeo" w:hAnsi="Microsoft GothicNeo" w:cs="Times New Roman" w:hint="eastAsia"/>
          <w:sz w:val="20"/>
          <w:szCs w:val="20"/>
        </w:rPr>
        <w:t>i samband med övertalighet, besparingsåtgärder och andra organisatoriska skäl då tjänsten inte behöver återbesättas. Den kan också erbjudas i andra särskilda fall. Beslut tas av HR-chef.</w:t>
      </w:r>
    </w:p>
    <w:p w14:paraId="510F3C72" w14:textId="5E901004" w:rsidR="0078188D" w:rsidRPr="0078188D" w:rsidRDefault="0078188D" w:rsidP="0078188D">
      <w:pPr>
        <w:spacing w:after="120" w:line="216" w:lineRule="auto"/>
        <w:rPr>
          <w:rFonts w:ascii="Microsoft GothicNeo" w:eastAsia="Microsoft GothicNeo" w:hAnsi="Microsoft GothicNeo" w:cs="Times New Roman"/>
          <w:sz w:val="20"/>
          <w:szCs w:val="20"/>
        </w:rPr>
      </w:pPr>
      <w:r w:rsidRPr="0078188D">
        <w:rPr>
          <w:rFonts w:ascii="Microsoft GothicNeo" w:eastAsia="Microsoft GothicNeo" w:hAnsi="Microsoft GothicNeo" w:cs="Times New Roman" w:hint="eastAsia"/>
          <w:sz w:val="20"/>
          <w:szCs w:val="20"/>
        </w:rPr>
        <w:t>I den mån arbetsgivaren finner det lämpligt att bevilja särskild avtalspension sker detta efter individuell prövning</w:t>
      </w:r>
      <w:r w:rsidR="0010637E">
        <w:rPr>
          <w:rFonts w:ascii="Microsoft GothicNeo" w:eastAsia="Microsoft GothicNeo" w:hAnsi="Microsoft GothicNeo" w:cs="Times New Roman"/>
          <w:sz w:val="20"/>
          <w:szCs w:val="20"/>
        </w:rPr>
        <w:t xml:space="preserve">. </w:t>
      </w:r>
    </w:p>
    <w:p w14:paraId="0F8CF476" w14:textId="20413C79" w:rsidR="0078188D" w:rsidRPr="0010637E" w:rsidRDefault="0078188D" w:rsidP="0078188D">
      <w:pPr>
        <w:spacing w:after="120" w:line="216" w:lineRule="auto"/>
        <w:rPr>
          <w:rFonts w:ascii="Microsoft GothicNeo" w:eastAsia="Microsoft GothicNeo" w:hAnsi="Microsoft GothicNeo" w:cs="Times New Roman"/>
          <w:sz w:val="20"/>
          <w:szCs w:val="20"/>
        </w:rPr>
      </w:pPr>
      <w:r w:rsidRPr="00AC6E82">
        <w:rPr>
          <w:rFonts w:ascii="Microsoft GothicNeo" w:eastAsia="Microsoft GothicNeo" w:hAnsi="Microsoft GothicNeo" w:cs="Microsoft GothicNeo"/>
          <w:b/>
          <w:bCs/>
          <w:sz w:val="24"/>
          <w:szCs w:val="24"/>
        </w:rPr>
        <w:t>Löneväxling</w:t>
      </w:r>
      <w:r w:rsidRPr="0078188D">
        <w:rPr>
          <w:rFonts w:ascii="Amasis MT Pro" w:eastAsia="Microsoft GothicNeo" w:hAnsi="Amasis MT Pro" w:cs="Times New Roman"/>
          <w:b/>
          <w:bCs/>
          <w:sz w:val="20"/>
          <w:szCs w:val="20"/>
        </w:rPr>
        <w:br/>
      </w:r>
      <w:r w:rsidRPr="0078188D">
        <w:rPr>
          <w:rFonts w:ascii="Microsoft GothicNeo" w:eastAsia="Microsoft GothicNeo" w:hAnsi="Microsoft GothicNeo" w:cs="Times New Roman" w:hint="eastAsia"/>
          <w:sz w:val="20"/>
          <w:szCs w:val="20"/>
        </w:rPr>
        <w:t xml:space="preserve">Falu kommun erbjuder medarbetare att löneväxla. Erbjudandet gäller medarbetare med tillsvidareanställning. </w:t>
      </w:r>
    </w:p>
    <w:p w14:paraId="2D8AFF9A" w14:textId="77777777" w:rsidR="0078188D" w:rsidRPr="0078188D" w:rsidRDefault="0078188D" w:rsidP="0078188D">
      <w:pPr>
        <w:spacing w:after="120" w:line="216" w:lineRule="auto"/>
        <w:rPr>
          <w:rFonts w:ascii="Microsoft GothicNeo" w:eastAsia="Microsoft GothicNeo" w:hAnsi="Microsoft GothicNeo" w:cs="Times New Roman"/>
          <w:sz w:val="20"/>
          <w:szCs w:val="20"/>
        </w:rPr>
      </w:pPr>
      <w:r w:rsidRPr="0078188D">
        <w:rPr>
          <w:rFonts w:ascii="Microsoft GothicNeo" w:eastAsia="Microsoft GothicNeo" w:hAnsi="Microsoft GothicNeo" w:cs="Times New Roman" w:hint="eastAsia"/>
          <w:sz w:val="20"/>
          <w:szCs w:val="20"/>
        </w:rPr>
        <w:t xml:space="preserve">Vid 65 års ålder upphör löneväxling.  </w:t>
      </w:r>
    </w:p>
    <w:p w14:paraId="487C7B48" w14:textId="77777777" w:rsidR="0078188D" w:rsidRPr="0078188D" w:rsidRDefault="0078188D" w:rsidP="0078188D">
      <w:pPr>
        <w:spacing w:after="120" w:line="216" w:lineRule="auto"/>
        <w:rPr>
          <w:rFonts w:ascii="Microsoft GothicNeo" w:eastAsia="Microsoft GothicNeo" w:hAnsi="Microsoft GothicNeo" w:cs="Times New Roman"/>
          <w:sz w:val="20"/>
          <w:szCs w:val="20"/>
        </w:rPr>
      </w:pPr>
      <w:r w:rsidRPr="0078188D">
        <w:rPr>
          <w:rFonts w:ascii="Microsoft GothicNeo" w:eastAsia="Microsoft GothicNeo" w:hAnsi="Microsoft GothicNeo" w:cs="Times New Roman" w:hint="eastAsia"/>
          <w:sz w:val="20"/>
          <w:szCs w:val="20"/>
        </w:rPr>
        <w:t>Löneväxling innebär att medarbetaren kan göra ett frivilligt bruttolöneavstående till förmån för ett extra pensionssparande. Löneväxlingen ska vara kostnadsneutral för kommunen.</w:t>
      </w:r>
    </w:p>
    <w:p w14:paraId="6A9245CE" w14:textId="1B8A0964" w:rsidR="0078188D" w:rsidRPr="0078188D" w:rsidRDefault="0078188D" w:rsidP="0078188D">
      <w:pPr>
        <w:spacing w:after="120" w:line="216" w:lineRule="auto"/>
        <w:rPr>
          <w:rFonts w:ascii="Microsoft GothicNeo" w:eastAsia="Microsoft GothicNeo" w:hAnsi="Microsoft GothicNeo" w:cs="Times New Roman"/>
          <w:sz w:val="20"/>
          <w:szCs w:val="20"/>
        </w:rPr>
      </w:pPr>
      <w:r w:rsidRPr="0078188D">
        <w:rPr>
          <w:rFonts w:ascii="Microsoft GothicNeo" w:eastAsia="Microsoft GothicNeo" w:hAnsi="Microsoft GothicNeo" w:cs="Times New Roman" w:hint="eastAsia"/>
          <w:sz w:val="20"/>
          <w:szCs w:val="20"/>
        </w:rPr>
        <w:t xml:space="preserve">Se </w:t>
      </w:r>
      <w:r w:rsidR="009C66C9">
        <w:rPr>
          <w:rFonts w:ascii="Microsoft GothicNeo" w:eastAsia="Microsoft GothicNeo" w:hAnsi="Microsoft GothicNeo" w:cs="Times New Roman"/>
          <w:sz w:val="20"/>
          <w:szCs w:val="20"/>
        </w:rPr>
        <w:t>separata</w:t>
      </w:r>
      <w:r w:rsidR="009015EF">
        <w:rPr>
          <w:rFonts w:ascii="Microsoft GothicNeo" w:eastAsia="Microsoft GothicNeo" w:hAnsi="Microsoft GothicNeo" w:cs="Times New Roman"/>
          <w:sz w:val="20"/>
          <w:szCs w:val="20"/>
        </w:rPr>
        <w:t xml:space="preserve"> </w:t>
      </w:r>
      <w:r w:rsidRPr="0078188D">
        <w:rPr>
          <w:rFonts w:ascii="Microsoft GothicNeo" w:eastAsia="Microsoft GothicNeo" w:hAnsi="Microsoft GothicNeo" w:cs="Times New Roman" w:hint="eastAsia"/>
          <w:sz w:val="20"/>
          <w:szCs w:val="20"/>
        </w:rPr>
        <w:t>riktlinjer för löneväxling</w:t>
      </w:r>
      <w:r w:rsidR="009C66C9">
        <w:rPr>
          <w:rFonts w:ascii="Microsoft GothicNeo" w:eastAsia="Microsoft GothicNeo" w:hAnsi="Microsoft GothicNeo" w:cs="Times New Roman"/>
          <w:sz w:val="20"/>
          <w:szCs w:val="20"/>
        </w:rPr>
        <w:t>.</w:t>
      </w:r>
    </w:p>
    <w:p w14:paraId="41C74B29" w14:textId="77777777" w:rsidR="0078188D" w:rsidRPr="0078188D" w:rsidRDefault="0078188D">
      <w:pPr>
        <w:rPr>
          <w:rFonts w:ascii="Microsoft GothicNeo" w:eastAsia="Microsoft GothicNeo" w:hAnsi="Microsoft GothicNeo" w:cs="Microsoft GothicNeo"/>
          <w:bCs/>
          <w:noProof/>
          <w:color w:val="FFFFFF" w:themeColor="background1"/>
          <w:sz w:val="24"/>
          <w:szCs w:val="24"/>
        </w:rPr>
      </w:pPr>
    </w:p>
    <w:p w14:paraId="02C66105" w14:textId="7B826582" w:rsidR="00AF512A" w:rsidRDefault="00AF512A"/>
    <w:sectPr w:rsidR="00AF5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w:altName w:val="Amasis MT Pro"/>
    <w:charset w:val="00"/>
    <w:family w:val="roman"/>
    <w:pitch w:val="variable"/>
    <w:sig w:usb0="A00000AF" w:usb1="4000205B" w:usb2="00000000" w:usb3="00000000" w:csb0="00000093" w:csb1="00000000"/>
  </w:font>
  <w:font w:name="Microsoft GothicNeo">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188D"/>
    <w:multiLevelType w:val="hybridMultilevel"/>
    <w:tmpl w:val="2BD28FEC"/>
    <w:lvl w:ilvl="0" w:tplc="EC22615E">
      <w:start w:val="1"/>
      <w:numFmt w:val="bullet"/>
      <w:lvlText w:val=""/>
      <w:lvlJc w:val="left"/>
      <w:pPr>
        <w:ind w:left="1440" w:hanging="360"/>
      </w:pPr>
      <w:rPr>
        <w:rFonts w:ascii="Symbol" w:hAnsi="Symbol"/>
      </w:rPr>
    </w:lvl>
    <w:lvl w:ilvl="1" w:tplc="CE78797E">
      <w:start w:val="1"/>
      <w:numFmt w:val="bullet"/>
      <w:lvlText w:val=""/>
      <w:lvlJc w:val="left"/>
      <w:pPr>
        <w:ind w:left="1440" w:hanging="360"/>
      </w:pPr>
      <w:rPr>
        <w:rFonts w:ascii="Symbol" w:hAnsi="Symbol"/>
      </w:rPr>
    </w:lvl>
    <w:lvl w:ilvl="2" w:tplc="4536B4D8">
      <w:start w:val="1"/>
      <w:numFmt w:val="bullet"/>
      <w:lvlText w:val=""/>
      <w:lvlJc w:val="left"/>
      <w:pPr>
        <w:ind w:left="1440" w:hanging="360"/>
      </w:pPr>
      <w:rPr>
        <w:rFonts w:ascii="Symbol" w:hAnsi="Symbol"/>
      </w:rPr>
    </w:lvl>
    <w:lvl w:ilvl="3" w:tplc="5A3E52B6">
      <w:start w:val="1"/>
      <w:numFmt w:val="bullet"/>
      <w:lvlText w:val=""/>
      <w:lvlJc w:val="left"/>
      <w:pPr>
        <w:ind w:left="1440" w:hanging="360"/>
      </w:pPr>
      <w:rPr>
        <w:rFonts w:ascii="Symbol" w:hAnsi="Symbol"/>
      </w:rPr>
    </w:lvl>
    <w:lvl w:ilvl="4" w:tplc="92BE20F8">
      <w:start w:val="1"/>
      <w:numFmt w:val="bullet"/>
      <w:lvlText w:val=""/>
      <w:lvlJc w:val="left"/>
      <w:pPr>
        <w:ind w:left="1440" w:hanging="360"/>
      </w:pPr>
      <w:rPr>
        <w:rFonts w:ascii="Symbol" w:hAnsi="Symbol"/>
      </w:rPr>
    </w:lvl>
    <w:lvl w:ilvl="5" w:tplc="1F160750">
      <w:start w:val="1"/>
      <w:numFmt w:val="bullet"/>
      <w:lvlText w:val=""/>
      <w:lvlJc w:val="left"/>
      <w:pPr>
        <w:ind w:left="1440" w:hanging="360"/>
      </w:pPr>
      <w:rPr>
        <w:rFonts w:ascii="Symbol" w:hAnsi="Symbol"/>
      </w:rPr>
    </w:lvl>
    <w:lvl w:ilvl="6" w:tplc="E7683EF4">
      <w:start w:val="1"/>
      <w:numFmt w:val="bullet"/>
      <w:lvlText w:val=""/>
      <w:lvlJc w:val="left"/>
      <w:pPr>
        <w:ind w:left="1440" w:hanging="360"/>
      </w:pPr>
      <w:rPr>
        <w:rFonts w:ascii="Symbol" w:hAnsi="Symbol"/>
      </w:rPr>
    </w:lvl>
    <w:lvl w:ilvl="7" w:tplc="88023718">
      <w:start w:val="1"/>
      <w:numFmt w:val="bullet"/>
      <w:lvlText w:val=""/>
      <w:lvlJc w:val="left"/>
      <w:pPr>
        <w:ind w:left="1440" w:hanging="360"/>
      </w:pPr>
      <w:rPr>
        <w:rFonts w:ascii="Symbol" w:hAnsi="Symbol"/>
      </w:rPr>
    </w:lvl>
    <w:lvl w:ilvl="8" w:tplc="16483F94">
      <w:start w:val="1"/>
      <w:numFmt w:val="bullet"/>
      <w:lvlText w:val=""/>
      <w:lvlJc w:val="left"/>
      <w:pPr>
        <w:ind w:left="1440" w:hanging="360"/>
      </w:pPr>
      <w:rPr>
        <w:rFonts w:ascii="Symbol" w:hAnsi="Symbol"/>
      </w:rPr>
    </w:lvl>
  </w:abstractNum>
  <w:num w:numId="1" w16cid:durableId="1287666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8D"/>
    <w:rsid w:val="0010637E"/>
    <w:rsid w:val="0078188D"/>
    <w:rsid w:val="007C7E59"/>
    <w:rsid w:val="009015EF"/>
    <w:rsid w:val="00913C75"/>
    <w:rsid w:val="00952BF8"/>
    <w:rsid w:val="009B2941"/>
    <w:rsid w:val="009C66C9"/>
    <w:rsid w:val="00AB54F5"/>
    <w:rsid w:val="00AC6E82"/>
    <w:rsid w:val="00AE26BC"/>
    <w:rsid w:val="00AF512A"/>
    <w:rsid w:val="00D1703A"/>
    <w:rsid w:val="00F272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0A4C"/>
  <w15:chartTrackingRefBased/>
  <w15:docId w15:val="{85C87D8D-DC0F-4DB9-9984-423C84A2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AC6E82"/>
    <w:rPr>
      <w:sz w:val="16"/>
      <w:szCs w:val="16"/>
    </w:rPr>
  </w:style>
  <w:style w:type="paragraph" w:styleId="Kommentarer">
    <w:name w:val="annotation text"/>
    <w:basedOn w:val="Normal"/>
    <w:link w:val="KommentarerChar"/>
    <w:uiPriority w:val="99"/>
    <w:unhideWhenUsed/>
    <w:rsid w:val="00AC6E82"/>
    <w:pPr>
      <w:spacing w:line="240" w:lineRule="auto"/>
    </w:pPr>
    <w:rPr>
      <w:sz w:val="20"/>
      <w:szCs w:val="20"/>
    </w:rPr>
  </w:style>
  <w:style w:type="character" w:customStyle="1" w:styleId="KommentarerChar">
    <w:name w:val="Kommentarer Char"/>
    <w:basedOn w:val="Standardstycketeckensnitt"/>
    <w:link w:val="Kommentarer"/>
    <w:uiPriority w:val="99"/>
    <w:rsid w:val="00AC6E82"/>
    <w:rPr>
      <w:sz w:val="20"/>
      <w:szCs w:val="20"/>
    </w:rPr>
  </w:style>
  <w:style w:type="paragraph" w:styleId="Kommentarsmne">
    <w:name w:val="annotation subject"/>
    <w:basedOn w:val="Kommentarer"/>
    <w:next w:val="Kommentarer"/>
    <w:link w:val="KommentarsmneChar"/>
    <w:uiPriority w:val="99"/>
    <w:semiHidden/>
    <w:unhideWhenUsed/>
    <w:rsid w:val="00AC6E82"/>
    <w:rPr>
      <w:b/>
      <w:bCs/>
    </w:rPr>
  </w:style>
  <w:style w:type="character" w:customStyle="1" w:styleId="KommentarsmneChar">
    <w:name w:val="Kommentarsämne Char"/>
    <w:basedOn w:val="KommentarerChar"/>
    <w:link w:val="Kommentarsmne"/>
    <w:uiPriority w:val="99"/>
    <w:semiHidden/>
    <w:rsid w:val="00AC6E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01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637</Words>
  <Characters>3377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Ingels</dc:creator>
  <cp:keywords/>
  <dc:description/>
  <cp:lastModifiedBy>Lena Persson</cp:lastModifiedBy>
  <cp:revision>10</cp:revision>
  <dcterms:created xsi:type="dcterms:W3CDTF">2023-09-13T11:34:00Z</dcterms:created>
  <dcterms:modified xsi:type="dcterms:W3CDTF">2024-03-01T07:21:00Z</dcterms:modified>
</cp:coreProperties>
</file>